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D319EC" w:rsidTr="00D319EC">
        <w:trPr>
          <w:trHeight w:val="854"/>
        </w:trPr>
        <w:tc>
          <w:tcPr>
            <w:tcW w:w="6984" w:type="dxa"/>
          </w:tcPr>
          <w:p w:rsidR="008F0481" w:rsidRPr="00D319EC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:rsidR="008F0481" w:rsidRPr="00D319EC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/>
      </w:tblPr>
      <w:tblGrid>
        <w:gridCol w:w="3528"/>
        <w:gridCol w:w="6326"/>
      </w:tblGrid>
      <w:tr w:rsidR="00D319EC" w:rsidTr="00BF518C">
        <w:trPr>
          <w:cnfStyle w:val="100000000000"/>
        </w:trPr>
        <w:tc>
          <w:tcPr>
            <w:cnfStyle w:val="001000000000"/>
            <w:tcW w:w="3528" w:type="dxa"/>
          </w:tcPr>
          <w:p w:rsidR="00D319EC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:rsidR="00D319EC" w:rsidRPr="004A1E15" w:rsidRDefault="00230444" w:rsidP="00BF518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:rsidR="00230444" w:rsidRPr="004A1E15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67330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</w:tcPr>
          <w:p w:rsidR="00230444" w:rsidRPr="006564B2" w:rsidRDefault="006564B2" w:rsidP="006564B2">
            <w:pPr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</w:t>
            </w:r>
            <w:r w:rsidRPr="006564B2">
              <w:rPr>
                <w:rFonts w:ascii="Calibri" w:hAnsi="Calibri"/>
                <w:b/>
                <w:color w:val="000000"/>
              </w:rPr>
              <w:t>W</w:t>
            </w:r>
            <w:r>
              <w:rPr>
                <w:rFonts w:ascii="Calibri" w:hAnsi="Calibri"/>
                <w:color w:val="000000"/>
              </w:rPr>
              <w:t xml:space="preserve">ork For a Dynamic </w:t>
            </w:r>
            <w:r w:rsidRPr="006564B2">
              <w:rPr>
                <w:rFonts w:ascii="Calibri" w:hAnsi="Calibri"/>
                <w:b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ctors Involved In </w:t>
            </w:r>
            <w:r w:rsidRPr="006564B2">
              <w:rPr>
                <w:rFonts w:ascii="Calibri" w:hAnsi="Calibri"/>
                <w:b/>
                <w:color w:val="000000"/>
              </w:rPr>
              <w:t>T</w:t>
            </w:r>
            <w:r>
              <w:rPr>
                <w:rFonts w:ascii="Calibri" w:hAnsi="Calibri"/>
                <w:color w:val="000000"/>
              </w:rPr>
              <w:t xml:space="preserve">he </w:t>
            </w:r>
            <w:r w:rsidRPr="006564B2">
              <w:rPr>
                <w:rFonts w:ascii="Calibri" w:hAnsi="Calibri"/>
                <w:b/>
                <w:color w:val="000000"/>
              </w:rPr>
              <w:t>T</w:t>
            </w:r>
            <w:r>
              <w:rPr>
                <w:rFonts w:ascii="Calibri" w:hAnsi="Calibri"/>
                <w:color w:val="000000"/>
              </w:rPr>
              <w:t xml:space="preserve">ransition Of Competences In The </w:t>
            </w:r>
            <w:r w:rsidRPr="006564B2">
              <w:rPr>
                <w:rFonts w:ascii="Calibri" w:hAnsi="Calibri"/>
                <w:b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 xml:space="preserve">nergy Field Facing </w:t>
            </w:r>
            <w:r w:rsidRPr="006564B2">
              <w:rPr>
                <w:rFonts w:ascii="Calibri" w:hAnsi="Calibri"/>
                <w:b/>
                <w:color w:val="000000"/>
              </w:rPr>
              <w:t>L</w:t>
            </w:r>
            <w:r>
              <w:rPr>
                <w:rFonts w:ascii="Calibri" w:hAnsi="Calibri"/>
                <w:color w:val="000000"/>
              </w:rPr>
              <w:t>earning Challenge</w:t>
            </w:r>
            <w:r w:rsidRPr="006564B2">
              <w:rPr>
                <w:rFonts w:ascii="Calibri" w:hAnsi="Calibri"/>
                <w:b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In </w:t>
            </w:r>
            <w:r w:rsidRPr="006564B2">
              <w:rPr>
                <w:rFonts w:ascii="Calibri" w:hAnsi="Calibri"/>
                <w:b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urope -WATT ELSE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:rsidR="00230444" w:rsidRPr="004A1E15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Parteneriat strategic </w:t>
            </w: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Erasmus+</w:t>
            </w:r>
            <w:r w:rsidR="00B710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schimb de bune practici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</w:tcPr>
          <w:p w:rsidR="00230444" w:rsidRPr="006564B2" w:rsidRDefault="006564B2" w:rsidP="00BF518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6564B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2019-1-FR01-KA202-062503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:rsidR="00230444" w:rsidRPr="004A1E15" w:rsidRDefault="00230444" w:rsidP="006564B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eastAsia="Calibri" w:hAnsi="Times New Roman" w:cs="Times New Roman"/>
                <w:sz w:val="24"/>
                <w:szCs w:val="24"/>
              </w:rPr>
              <w:t>01/09/201</w:t>
            </w:r>
            <w:r w:rsidR="006564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A1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31/</w:t>
            </w:r>
            <w:r w:rsidR="002B1A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A1E15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6564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6B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:rsidR="00230444" w:rsidRPr="00A75466" w:rsidRDefault="00037964" w:rsidP="0023044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75466">
              <w:rPr>
                <w:rFonts w:ascii="Calibri" w:eastAsia="Calibri" w:hAnsi="Calibri" w:cs="Calibri"/>
                <w:lang w:val="en-GB"/>
              </w:rPr>
              <w:t>14 198.18</w:t>
            </w:r>
            <w:r w:rsidR="00A75466">
              <w:rPr>
                <w:rFonts w:ascii="Calibri" w:hAnsi="Calibri" w:cs="Calibri"/>
                <w:lang w:val="en-GB"/>
              </w:rPr>
              <w:t xml:space="preserve"> Eur</w:t>
            </w:r>
            <w:r w:rsidR="00995724">
              <w:rPr>
                <w:rFonts w:ascii="Calibri" w:hAnsi="Calibri" w:cs="Calibri"/>
                <w:lang w:val="en-GB"/>
              </w:rPr>
              <w:t>o</w:t>
            </w:r>
          </w:p>
        </w:tc>
      </w:tr>
      <w:tr w:rsidR="00230444" w:rsidTr="00C73280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6326" w:type="dxa"/>
          </w:tcPr>
          <w:p w:rsidR="00C73280" w:rsidRPr="00C73280" w:rsidRDefault="00C73280" w:rsidP="00C73280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C73280">
              <w:rPr>
                <w:lang w:val="en-GB"/>
              </w:rPr>
              <w:t>MIFE of Territory of Belfort –</w:t>
            </w:r>
            <w:r w:rsidRPr="00C73280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r w:rsidRPr="00C73280">
              <w:t>FRANCE</w:t>
            </w:r>
            <w:r>
              <w:rPr>
                <w:b/>
                <w:bCs/>
              </w:rPr>
              <w:t>,</w:t>
            </w:r>
            <w:r w:rsidRPr="00C73280">
              <w:rPr>
                <w:lang w:val="en-GB"/>
              </w:rPr>
              <w:t xml:space="preserve"> Coordinator of project</w:t>
            </w:r>
            <w:r w:rsidRPr="00C73280">
              <w:rPr>
                <w:b/>
                <w:bCs/>
                <w:lang w:val="en-GB"/>
              </w:rPr>
              <w:t xml:space="preserve"> </w:t>
            </w:r>
          </w:p>
          <w:p w:rsidR="00C73280" w:rsidRPr="00C73280" w:rsidRDefault="00C73280" w:rsidP="00C73280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C73280">
              <w:rPr>
                <w:lang w:val="en-GB"/>
              </w:rPr>
              <w:t>Cité des Métiers, La Réunion -</w:t>
            </w:r>
            <w:r w:rsidRPr="00C73280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r w:rsidRPr="00C73280">
              <w:t>FRANCE</w:t>
            </w:r>
            <w:r w:rsidRPr="00C73280">
              <w:rPr>
                <w:bCs/>
              </w:rPr>
              <w:t xml:space="preserve"> </w:t>
            </w:r>
          </w:p>
          <w:p w:rsidR="007E5B31" w:rsidRPr="007E5B31" w:rsidRDefault="00C73280" w:rsidP="007E5B31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C73280">
              <w:rPr>
                <w:lang w:val="en-GB"/>
              </w:rPr>
              <w:t xml:space="preserve">Consorci de la Ribera. </w:t>
            </w:r>
            <w:r w:rsidR="007E5B31">
              <w:rPr>
                <w:lang w:val="en-GB"/>
              </w:rPr>
              <w:t>-</w:t>
            </w:r>
            <w:r w:rsidR="007E5B31" w:rsidRPr="007E5B31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r w:rsidR="007E5B31" w:rsidRPr="007E5B31">
              <w:t xml:space="preserve">SPAIN </w:t>
            </w:r>
          </w:p>
          <w:p w:rsidR="007E5B31" w:rsidRPr="007E5B31" w:rsidRDefault="007E5B31" w:rsidP="007E5B31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7E5B31">
              <w:rPr>
                <w:lang w:val="en-GB"/>
              </w:rPr>
              <w:t>EDF - Electricity of France</w:t>
            </w:r>
          </w:p>
          <w:p w:rsidR="007E5B31" w:rsidRPr="003268DD" w:rsidRDefault="007E5B31" w:rsidP="003268DD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7E5B31">
              <w:rPr>
                <w:lang w:val="en-GB"/>
              </w:rPr>
              <w:t xml:space="preserve">EnAIP - Ente Acli Istruzione Profesionale Piemonte (professional training center) the région of Piémont </w:t>
            </w:r>
            <w:r w:rsidR="003268DD">
              <w:rPr>
                <w:lang w:val="en-GB"/>
              </w:rPr>
              <w:t xml:space="preserve">- </w:t>
            </w:r>
            <w:r w:rsidR="003268DD" w:rsidRPr="003268DD">
              <w:t>ITALY</w:t>
            </w:r>
          </w:p>
          <w:p w:rsidR="007E5B31" w:rsidRPr="007E5B31" w:rsidRDefault="007E5B31" w:rsidP="007E5B31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7E5B31">
              <w:rPr>
                <w:lang w:val="en-GB"/>
              </w:rPr>
              <w:t xml:space="preserve">Horizon Reunion (SPL – local public company) </w:t>
            </w:r>
            <w:r w:rsidR="003268DD">
              <w:rPr>
                <w:lang w:val="en-GB"/>
              </w:rPr>
              <w:t xml:space="preserve">- </w:t>
            </w:r>
            <w:r w:rsidR="003268DD" w:rsidRPr="007E5B31">
              <w:rPr>
                <w:lang w:val="en-GB"/>
              </w:rPr>
              <w:t>France</w:t>
            </w:r>
          </w:p>
          <w:p w:rsidR="007E5B31" w:rsidRPr="003268DD" w:rsidRDefault="007E5B31" w:rsidP="003268DD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7E5B31">
              <w:rPr>
                <w:lang w:val="en-GB"/>
              </w:rPr>
              <w:t>Fondazione ITS - Professionalità per lo sviluppo dei sistemi energetici Ecosostenibili (higher technical institute)</w:t>
            </w:r>
            <w:r w:rsidR="003268DD">
              <w:rPr>
                <w:lang w:val="en-GB"/>
              </w:rPr>
              <w:t xml:space="preserve">- </w:t>
            </w:r>
            <w:r w:rsidR="003268DD" w:rsidRPr="003268DD">
              <w:t>ITALY</w:t>
            </w:r>
          </w:p>
          <w:p w:rsidR="007E5B31" w:rsidRPr="007E5B31" w:rsidRDefault="007E5B31" w:rsidP="007E5B31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7E5B31">
              <w:rPr>
                <w:lang w:val="en-GB"/>
              </w:rPr>
              <w:t>Hellenic Open University (open university)</w:t>
            </w:r>
            <w:r w:rsidR="003268DD">
              <w:rPr>
                <w:lang w:val="en-GB"/>
              </w:rPr>
              <w:t xml:space="preserve"> -</w:t>
            </w:r>
            <w:r w:rsidR="003268DD" w:rsidRPr="003268DD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r w:rsidR="003268DD" w:rsidRPr="003268DD">
              <w:rPr>
                <w:lang w:val="en-GB"/>
              </w:rPr>
              <w:t>GREECE</w:t>
            </w:r>
          </w:p>
          <w:p w:rsidR="003268DD" w:rsidRPr="003268DD" w:rsidRDefault="007E5B31" w:rsidP="007E5B31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3268DD">
              <w:rPr>
                <w:lang w:val="en-GB"/>
              </w:rPr>
              <w:t>Inspec</w:t>
            </w:r>
            <w:r w:rsidR="003268DD">
              <w:rPr>
                <w:lang w:val="en-GB"/>
              </w:rPr>
              <w:t xml:space="preserve">toratul Scolar Judetean Iasi </w:t>
            </w:r>
          </w:p>
          <w:p w:rsidR="007E5B31" w:rsidRPr="003268DD" w:rsidRDefault="007E5B31" w:rsidP="00A75466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3268DD">
              <w:rPr>
                <w:lang w:val="en-GB"/>
              </w:rPr>
              <w:t xml:space="preserve">KTH - Kungliga Tekniska Hoegskolan (royal university) - </w:t>
            </w:r>
            <w:r w:rsidRPr="007E5B31">
              <w:t>SWEDEN</w:t>
            </w:r>
          </w:p>
          <w:p w:rsidR="007E5B31" w:rsidRPr="007E5B31" w:rsidRDefault="007E5B31" w:rsidP="007E5B31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lang w:val="en-US"/>
              </w:rPr>
            </w:pPr>
            <w:r w:rsidRPr="007E5B31">
              <w:rPr>
                <w:lang w:val="en-GB"/>
              </w:rPr>
              <w:t xml:space="preserve">TREXIMA (Institute of statistics, analysis of work market and of council) </w:t>
            </w:r>
            <w:r>
              <w:rPr>
                <w:lang w:val="en-GB"/>
              </w:rPr>
              <w:t xml:space="preserve">- </w:t>
            </w:r>
            <w:r w:rsidRPr="007E5B31">
              <w:t>SLOVAKIA</w:t>
            </w:r>
          </w:p>
          <w:p w:rsidR="00230444" w:rsidRPr="004F06FA" w:rsidRDefault="007E5B31" w:rsidP="007E5B31">
            <w:pPr>
              <w:pStyle w:val="Listparagraf"/>
              <w:numPr>
                <w:ilvl w:val="0"/>
                <w:numId w:val="5"/>
              </w:numPr>
              <w:cnfStyle w:val="000000100000"/>
              <w:rPr>
                <w:b/>
              </w:rPr>
            </w:pPr>
            <w:r w:rsidRPr="007E5B31">
              <w:rPr>
                <w:lang w:val="en-GB"/>
              </w:rPr>
              <w:t xml:space="preserve">UTBM – University of Technology Belfort – Montbéliard - </w:t>
            </w:r>
            <w:r w:rsidRPr="00C73280">
              <w:t>FRANCE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326" w:type="dxa"/>
          </w:tcPr>
          <w:p w:rsidR="00F207B7" w:rsidRPr="009D2BD7" w:rsidRDefault="00481D7B" w:rsidP="009D2BD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cnfStyle w:val="000000010000"/>
              <w:rPr>
                <w:rFonts w:ascii="Calibri" w:hAnsi="Calibri" w:cs="Calibri"/>
                <w:lang w:val="en-GB"/>
              </w:rPr>
            </w:pPr>
            <w:r w:rsidRPr="009D2BD7">
              <w:rPr>
                <w:rFonts w:ascii="Calibri" w:hAnsi="Calibri" w:cs="Calibri"/>
              </w:rPr>
              <w:t>Primaria Iasi</w:t>
            </w:r>
            <w:r w:rsidRPr="009D2BD7">
              <w:rPr>
                <w:lang w:val="en-US"/>
              </w:rPr>
              <w:t>, S. C. Veolia Energie Iasi S. A</w:t>
            </w:r>
            <w:r w:rsidR="00F207B7" w:rsidRPr="009D2BD7">
              <w:rPr>
                <w:lang w:val="en-US"/>
              </w:rPr>
              <w:t xml:space="preserve">., </w:t>
            </w:r>
            <w:r w:rsidR="00F207B7" w:rsidRPr="009D2BD7">
              <w:rPr>
                <w:rFonts w:ascii="Calibri" w:hAnsi="Calibri" w:cs="Calibri"/>
                <w:lang w:val="en-GB"/>
              </w:rPr>
              <w:t xml:space="preserve">Gemite Ro SRL, </w:t>
            </w:r>
            <w:r w:rsidR="009D2BD7" w:rsidRPr="009D2BD7">
              <w:rPr>
                <w:rFonts w:ascii="Calibri" w:hAnsi="Calibri" w:cs="Calibri"/>
                <w:lang w:val="en-GB"/>
              </w:rPr>
              <w:t xml:space="preserve">Facultatea de Inginerie Electrică, Energetică și Informatică Aplicată, Facultatea de Biologie, </w:t>
            </w:r>
            <w:r w:rsidR="00F207B7" w:rsidRPr="009D2BD7">
              <w:rPr>
                <w:rFonts w:ascii="Calibri" w:eastAsia="Calibri" w:hAnsi="Calibri" w:cs="Calibri"/>
                <w:lang w:val="en-GB"/>
              </w:rPr>
              <w:t>Vocational School “Nicolae Balauta”</w:t>
            </w:r>
            <w:r w:rsidR="00F207B7" w:rsidRPr="009D2BD7">
              <w:rPr>
                <w:rFonts w:ascii="Calibri" w:hAnsi="Calibri" w:cs="Calibri"/>
                <w:lang w:val="en-GB"/>
              </w:rPr>
              <w:t xml:space="preserve"> Șcheia, Colegiul Național „Emil Racoviță”, Liceul Tehnologic </w:t>
            </w:r>
            <w:r w:rsidR="009D2BD7" w:rsidRPr="009D2BD7">
              <w:rPr>
                <w:rFonts w:ascii="Calibri" w:hAnsi="Calibri" w:cs="Calibri"/>
                <w:lang w:val="en-GB"/>
              </w:rPr>
              <w:t>”</w:t>
            </w:r>
            <w:r w:rsidR="00F207B7" w:rsidRPr="009D2BD7">
              <w:rPr>
                <w:rFonts w:ascii="Calibri" w:hAnsi="Calibri" w:cs="Calibri"/>
                <w:lang w:val="en-GB"/>
              </w:rPr>
              <w:t>Dimitrie Leonida</w:t>
            </w:r>
            <w:r w:rsidR="009D2BD7" w:rsidRPr="009D2BD7">
              <w:rPr>
                <w:rFonts w:ascii="Calibri" w:hAnsi="Calibri" w:cs="Calibri"/>
                <w:lang w:val="en-GB"/>
              </w:rPr>
              <w:t>”</w:t>
            </w:r>
            <w:r w:rsidR="00F207B7" w:rsidRPr="009D2BD7">
              <w:rPr>
                <w:rFonts w:ascii="Calibri" w:hAnsi="Calibri" w:cs="Calibri"/>
                <w:lang w:val="en-GB"/>
              </w:rPr>
              <w:t xml:space="preserve">, </w:t>
            </w:r>
            <w:r w:rsidR="009D2BD7">
              <w:rPr>
                <w:rFonts w:ascii="Calibri" w:eastAsia="Calibri" w:hAnsi="Calibri" w:cs="Calibri"/>
                <w:lang w:bidi="he-IL"/>
              </w:rPr>
              <w:t>Liceul Tehnologic de Electronică</w:t>
            </w:r>
            <w:r w:rsidR="00F207B7" w:rsidRPr="009D2BD7">
              <w:rPr>
                <w:rFonts w:ascii="Calibri" w:eastAsia="Calibri" w:hAnsi="Calibri" w:cs="Calibri"/>
                <w:lang w:bidi="he-IL"/>
              </w:rPr>
              <w:t xml:space="preserve"> </w:t>
            </w:r>
            <w:r w:rsidR="009D2BD7">
              <w:rPr>
                <w:rFonts w:ascii="Calibri" w:eastAsia="Calibri" w:hAnsi="Calibri" w:cs="Calibri"/>
                <w:lang w:bidi="he-IL"/>
              </w:rPr>
              <w:t>ș</w:t>
            </w:r>
            <w:r w:rsidR="00F207B7" w:rsidRPr="009D2BD7">
              <w:rPr>
                <w:rFonts w:ascii="Calibri" w:eastAsia="Calibri" w:hAnsi="Calibri" w:cs="Calibri"/>
                <w:lang w:bidi="he-IL"/>
              </w:rPr>
              <w:t>i Telecomunica</w:t>
            </w:r>
            <w:r w:rsidR="009D2BD7">
              <w:rPr>
                <w:rFonts w:ascii="Calibri" w:eastAsia="Calibri" w:hAnsi="Calibri" w:cs="Calibri"/>
                <w:lang w:bidi="he-IL"/>
              </w:rPr>
              <w:t>ț</w:t>
            </w:r>
            <w:r w:rsidR="00F207B7" w:rsidRPr="009D2BD7">
              <w:rPr>
                <w:rFonts w:ascii="Calibri" w:eastAsia="Calibri" w:hAnsi="Calibri" w:cs="Calibri"/>
                <w:lang w:bidi="he-IL"/>
              </w:rPr>
              <w:t>ii „Gheorghe Marzescu”</w:t>
            </w:r>
            <w:r w:rsidR="00F207B7" w:rsidRPr="009D2BD7">
              <w:rPr>
                <w:rFonts w:ascii="Calibri" w:hAnsi="Calibri" w:cs="Calibri"/>
                <w:lang w:bidi="he-IL"/>
              </w:rPr>
              <w:t xml:space="preserve">, </w:t>
            </w:r>
            <w:r w:rsidR="000E4044" w:rsidRPr="009D2BD7">
              <w:rPr>
                <w:rFonts w:ascii="Calibri" w:hAnsi="Calibri" w:cs="Calibri"/>
                <w:lang w:val="en-GB"/>
              </w:rPr>
              <w:t xml:space="preserve">Școala Profesională Gropnița, </w:t>
            </w:r>
            <w:r w:rsidRPr="009D2BD7">
              <w:rPr>
                <w:rFonts w:ascii="Calibri" w:hAnsi="Calibri" w:cs="Calibri"/>
                <w:lang w:val="en-GB"/>
              </w:rPr>
              <w:t>Fundația EdInfo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:rsidR="00995724" w:rsidRDefault="00995724" w:rsidP="00332596">
            <w:pPr>
              <w:cnfStyle w:val="00000010000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Sensibilizarea </w:t>
            </w:r>
            <w:r w:rsidRPr="00995724">
              <w:rPr>
                <w:rFonts w:ascii="Calibri" w:hAnsi="Calibri" w:cs="Calibri"/>
                <w:lang w:val="en-GB"/>
              </w:rPr>
              <w:t>public</w:t>
            </w:r>
            <w:r>
              <w:rPr>
                <w:rFonts w:ascii="Calibri" w:hAnsi="Calibri" w:cs="Calibri"/>
                <w:lang w:val="en-GB"/>
              </w:rPr>
              <w:t>ului</w:t>
            </w:r>
            <w:r w:rsidRPr="00995724">
              <w:rPr>
                <w:rFonts w:ascii="Calibri" w:hAnsi="Calibri" w:cs="Calibri"/>
                <w:lang w:val="en-GB"/>
              </w:rPr>
              <w:t xml:space="preserve"> larg la cultura științifică, tehnică și industrială.</w:t>
            </w:r>
          </w:p>
          <w:p w:rsidR="00332596" w:rsidRPr="004A1E15" w:rsidRDefault="00554733" w:rsidP="009957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Calibri" w:hAnsi="Calibri" w:cs="Calibri"/>
                <w:lang w:val="en-GB"/>
              </w:rPr>
              <w:t>Proiectul</w:t>
            </w:r>
            <w:r w:rsidR="00995724" w:rsidRPr="00995724">
              <w:rPr>
                <w:rFonts w:ascii="Calibri" w:hAnsi="Calibri" w:cs="Calibri"/>
                <w:lang w:val="en-GB"/>
              </w:rPr>
              <w:t xml:space="preserve"> se bazează pe o acțiune desfășurată din 2011 în regiunea Nord Franche-Comté, care se concentrează în special asupra locurilor de muncă din domeniul energetic. </w:t>
            </w:r>
          </w:p>
        </w:tc>
      </w:tr>
      <w:tr w:rsidR="00C63216" w:rsidTr="00995724">
        <w:trPr>
          <w:cnfStyle w:val="000000010000"/>
        </w:trPr>
        <w:tc>
          <w:tcPr>
            <w:cnfStyle w:val="001000000000"/>
            <w:tcW w:w="3528" w:type="dxa"/>
          </w:tcPr>
          <w:p w:rsidR="00C63216" w:rsidRPr="004A1E15" w:rsidRDefault="00C63216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A1E15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  <w:p w:rsidR="00C63216" w:rsidRPr="004A1E15" w:rsidRDefault="00C63216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326" w:type="dxa"/>
          </w:tcPr>
          <w:p w:rsidR="00995724" w:rsidRPr="00995724" w:rsidRDefault="00995724" w:rsidP="00995724">
            <w:pPr>
              <w:pStyle w:val="Listparagraf"/>
              <w:tabs>
                <w:tab w:val="left" w:pos="284"/>
                <w:tab w:val="left" w:pos="567"/>
              </w:tabs>
              <w:spacing w:after="160" w:line="259" w:lineRule="auto"/>
              <w:ind w:left="0"/>
              <w:jc w:val="both"/>
              <w:cnfStyle w:val="000000010000"/>
              <w:rPr>
                <w:rFonts w:ascii="Calibri" w:hAnsi="Calibri" w:cs="Calibri"/>
                <w:b/>
                <w:lang w:val="en-US"/>
              </w:rPr>
            </w:pPr>
            <w:r w:rsidRPr="00995724">
              <w:rPr>
                <w:rFonts w:ascii="Calibri" w:hAnsi="Calibri" w:cs="Calibri"/>
                <w:b/>
                <w:bCs/>
                <w:lang w:val="ro-RO"/>
              </w:rPr>
              <w:t>Pentru domeniul universitar, preuniversitar și organizațiile de tra</w:t>
            </w:r>
            <w:r w:rsidRPr="00995724">
              <w:rPr>
                <w:rFonts w:ascii="Calibri" w:hAnsi="Calibri" w:cs="Calibri"/>
                <w:b/>
                <w:bCs/>
                <w:lang w:val="en-US"/>
              </w:rPr>
              <w:t>i</w:t>
            </w:r>
            <w:r w:rsidRPr="00995724">
              <w:rPr>
                <w:rFonts w:ascii="Calibri" w:hAnsi="Calibri" w:cs="Calibri"/>
                <w:b/>
                <w:bCs/>
                <w:lang w:val="ro-RO"/>
              </w:rPr>
              <w:t xml:space="preserve">ning profesional 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Adaptarea la nevoile firmei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lastRenderedPageBreak/>
              <w:t xml:space="preserve">Descoperirea de locuri de muncă și noi competențe în domeniul energetic 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Atragerea tinerilor către domeniul energetic</w:t>
            </w:r>
          </w:p>
          <w:p w:rsidR="00995724" w:rsidRPr="00995724" w:rsidRDefault="00995724" w:rsidP="00995724">
            <w:pPr>
              <w:pStyle w:val="Listparagraf"/>
              <w:tabs>
                <w:tab w:val="left" w:pos="284"/>
                <w:tab w:val="left" w:pos="567"/>
              </w:tabs>
              <w:spacing w:after="160" w:line="259" w:lineRule="auto"/>
              <w:ind w:left="0"/>
              <w:jc w:val="both"/>
              <w:cnfStyle w:val="000000010000"/>
              <w:rPr>
                <w:rFonts w:ascii="Calibri" w:hAnsi="Calibri" w:cs="Calibri"/>
                <w:b/>
                <w:lang w:val="en-US"/>
              </w:rPr>
            </w:pPr>
            <w:r w:rsidRPr="00995724">
              <w:rPr>
                <w:rFonts w:ascii="Calibri" w:hAnsi="Calibri" w:cs="Calibri"/>
                <w:b/>
                <w:bCs/>
                <w:lang w:val="ro-RO"/>
              </w:rPr>
              <w:t>Pentru firme</w:t>
            </w:r>
            <w:r w:rsidRPr="0099572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000000" w:rsidRPr="00995724" w:rsidRDefault="006B6925" w:rsidP="00995724">
            <w:pPr>
              <w:pStyle w:val="Listparagraf"/>
              <w:numPr>
                <w:ilvl w:val="2"/>
                <w:numId w:val="11"/>
              </w:numPr>
              <w:tabs>
                <w:tab w:val="left" w:pos="284"/>
                <w:tab w:val="left" w:pos="567"/>
              </w:tabs>
              <w:spacing w:after="160" w:line="259" w:lineRule="auto"/>
              <w:ind w:left="644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 xml:space="preserve">Anticiparea </w:t>
            </w:r>
            <w:r w:rsidRPr="00995724">
              <w:rPr>
                <w:rFonts w:ascii="Calibri" w:hAnsi="Calibri" w:cs="Calibri"/>
                <w:lang w:val="ro-RO"/>
              </w:rPr>
              <w:t>modificării locurilor de muncă din domeniul energiei</w:t>
            </w:r>
          </w:p>
          <w:p w:rsidR="00995724" w:rsidRDefault="006B6925" w:rsidP="00995724">
            <w:pPr>
              <w:pStyle w:val="Listparagraf"/>
              <w:numPr>
                <w:ilvl w:val="2"/>
                <w:numId w:val="11"/>
              </w:numPr>
              <w:tabs>
                <w:tab w:val="left" w:pos="284"/>
                <w:tab w:val="left" w:pos="567"/>
              </w:tabs>
              <w:spacing w:after="160" w:line="259" w:lineRule="auto"/>
              <w:ind w:left="644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Atragerea persoanelor talentate în acest domeniu</w:t>
            </w:r>
          </w:p>
          <w:p w:rsidR="00995724" w:rsidRPr="00995724" w:rsidRDefault="00995724" w:rsidP="00995724">
            <w:pPr>
              <w:pStyle w:val="Listparagraf"/>
              <w:numPr>
                <w:ilvl w:val="2"/>
                <w:numId w:val="11"/>
              </w:numPr>
              <w:tabs>
                <w:tab w:val="left" w:pos="284"/>
                <w:tab w:val="left" w:pos="567"/>
              </w:tabs>
              <w:spacing w:after="160" w:line="259" w:lineRule="auto"/>
              <w:ind w:left="644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Crearea de legături  între diferite firme europene din domeniul energiei și universități</w:t>
            </w:r>
          </w:p>
          <w:p w:rsidR="00995724" w:rsidRPr="00995724" w:rsidRDefault="00995724" w:rsidP="00995724">
            <w:pPr>
              <w:pStyle w:val="Listparagraf"/>
              <w:tabs>
                <w:tab w:val="left" w:pos="284"/>
                <w:tab w:val="left" w:pos="567"/>
              </w:tabs>
              <w:spacing w:after="160" w:line="259" w:lineRule="auto"/>
              <w:ind w:left="0"/>
              <w:jc w:val="both"/>
              <w:cnfStyle w:val="000000010000"/>
              <w:rPr>
                <w:rFonts w:ascii="Calibri" w:hAnsi="Calibri" w:cs="Calibri"/>
                <w:b/>
                <w:lang w:val="en-US"/>
              </w:rPr>
            </w:pPr>
            <w:r w:rsidRPr="00995724">
              <w:rPr>
                <w:rFonts w:ascii="Calibri" w:hAnsi="Calibri" w:cs="Calibri"/>
                <w:b/>
                <w:bCs/>
                <w:lang w:val="ro-RO"/>
              </w:rPr>
              <w:t>Pentru organizații publice</w:t>
            </w:r>
            <w:r w:rsidRPr="0099572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12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Stabilirea de politici publice pen</w:t>
            </w:r>
            <w:r w:rsidRPr="00995724">
              <w:rPr>
                <w:rFonts w:ascii="Calibri" w:hAnsi="Calibri" w:cs="Calibri"/>
                <w:lang w:val="ro-RO"/>
              </w:rPr>
              <w:t>tru a asigura o dinamică a resurselor umane în domeniul energetic</w:t>
            </w:r>
          </w:p>
          <w:p w:rsidR="00995724" w:rsidRPr="00995724" w:rsidRDefault="00995724" w:rsidP="00995724">
            <w:pPr>
              <w:pStyle w:val="Listparagraf"/>
              <w:tabs>
                <w:tab w:val="left" w:pos="284"/>
                <w:tab w:val="left" w:pos="567"/>
              </w:tabs>
              <w:spacing w:after="160" w:line="259" w:lineRule="auto"/>
              <w:ind w:left="0"/>
              <w:jc w:val="both"/>
              <w:cnfStyle w:val="000000010000"/>
              <w:rPr>
                <w:rFonts w:ascii="Calibri" w:hAnsi="Calibri" w:cs="Calibri"/>
                <w:b/>
                <w:lang w:val="en-US"/>
              </w:rPr>
            </w:pPr>
            <w:r w:rsidRPr="00995724">
              <w:rPr>
                <w:rFonts w:ascii="Calibri" w:hAnsi="Calibri" w:cs="Calibri"/>
                <w:b/>
                <w:bCs/>
                <w:lang w:val="ro-RO"/>
              </w:rPr>
              <w:t>Pentru colaboratorii și partenerii europeni</w:t>
            </w:r>
            <w:r w:rsidRPr="0099572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Adoptarea metodologiei Uniunii Europene cu privire la managementul proiectelor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cnfStyle w:val="00000001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Cunoașterea aprofundată a evoluției locurilor de muncă în vedere</w:t>
            </w:r>
            <w:r w:rsidRPr="00995724">
              <w:rPr>
                <w:rFonts w:ascii="Calibri" w:hAnsi="Calibri" w:cs="Calibri"/>
                <w:lang w:val="ro-RO"/>
              </w:rPr>
              <w:t xml:space="preserve">a asigurării unei mai bune inserții sociale </w:t>
            </w:r>
          </w:p>
          <w:p w:rsidR="00C63216" w:rsidRPr="00995724" w:rsidRDefault="006B6925" w:rsidP="00995724">
            <w:pPr>
              <w:pStyle w:val="Listparagraf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spacing w:after="160" w:line="259" w:lineRule="auto"/>
              <w:jc w:val="both"/>
              <w:cnfStyle w:val="000000010000"/>
              <w:rPr>
                <w:rFonts w:ascii="Calibri" w:hAnsi="Calibri" w:cs="Calibri"/>
                <w:lang w:val="en-GB"/>
              </w:rPr>
            </w:pPr>
            <w:r w:rsidRPr="00995724">
              <w:rPr>
                <w:rFonts w:ascii="Calibri" w:hAnsi="Calibri" w:cs="Calibri"/>
                <w:lang w:val="ro-RO"/>
              </w:rPr>
              <w:t>Crearea unei hărți la nivel european a locurilor de muncă și a competențelor din domeniul energetic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Rezultate estimate</w:t>
            </w:r>
          </w:p>
          <w:p w:rsidR="00230444" w:rsidRPr="004A1E15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6326" w:type="dxa"/>
          </w:tcPr>
          <w:p w:rsidR="00995724" w:rsidRPr="00995724" w:rsidRDefault="00995724" w:rsidP="00995724">
            <w:pPr>
              <w:tabs>
                <w:tab w:val="left" w:pos="284"/>
                <w:tab w:val="left" w:pos="2081"/>
              </w:tabs>
              <w:jc w:val="both"/>
              <w:cnfStyle w:val="00000010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b/>
                <w:bCs/>
                <w:lang w:val="ro-RO"/>
              </w:rPr>
              <w:t>Fiecare partener va asigura</w:t>
            </w:r>
            <w:r w:rsidRPr="0099572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9"/>
              </w:numPr>
              <w:tabs>
                <w:tab w:val="left" w:pos="284"/>
                <w:tab w:val="left" w:pos="2081"/>
              </w:tabs>
              <w:jc w:val="both"/>
              <w:cnfStyle w:val="00000010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 xml:space="preserve">O diagnoză a locurilor de muncă din domeniul energetic al regiunii 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9"/>
              </w:numPr>
              <w:tabs>
                <w:tab w:val="left" w:pos="284"/>
                <w:tab w:val="left" w:pos="2081"/>
              </w:tabs>
              <w:jc w:val="both"/>
              <w:cnfStyle w:val="00000010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O descriere a competențelor profesionale a joburi</w:t>
            </w:r>
            <w:r w:rsidRPr="00995724">
              <w:rPr>
                <w:rFonts w:ascii="Calibri" w:hAnsi="Calibri" w:cs="Calibri"/>
                <w:lang w:val="ro-RO"/>
              </w:rPr>
              <w:t>lor din domeniul energetic al regiunii</w:t>
            </w:r>
          </w:p>
          <w:p w:rsidR="00000000" w:rsidRPr="00995724" w:rsidRDefault="006B6925" w:rsidP="00995724">
            <w:pPr>
              <w:pStyle w:val="Listparagraf"/>
              <w:numPr>
                <w:ilvl w:val="0"/>
                <w:numId w:val="9"/>
              </w:numPr>
              <w:tabs>
                <w:tab w:val="left" w:pos="284"/>
                <w:tab w:val="left" w:pos="2081"/>
              </w:tabs>
              <w:jc w:val="both"/>
              <w:cnfStyle w:val="00000010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Organizarea unei conferințe cu persoane competente din domeniul public, privat, al sindicatelor, universitar, preuniversitar și al organizațiilor de formare profesională</w:t>
            </w:r>
          </w:p>
          <w:p w:rsidR="00332596" w:rsidRPr="00995724" w:rsidRDefault="006B6925" w:rsidP="00995724">
            <w:pPr>
              <w:pStyle w:val="Listparagraf"/>
              <w:numPr>
                <w:ilvl w:val="0"/>
                <w:numId w:val="9"/>
              </w:numPr>
              <w:tabs>
                <w:tab w:val="left" w:pos="284"/>
                <w:tab w:val="left" w:pos="2081"/>
              </w:tabs>
              <w:jc w:val="both"/>
              <w:cnfStyle w:val="000000100000"/>
              <w:rPr>
                <w:rFonts w:ascii="Calibri" w:hAnsi="Calibri" w:cs="Calibri"/>
                <w:lang w:val="en-US"/>
              </w:rPr>
            </w:pPr>
            <w:r w:rsidRPr="00995724">
              <w:rPr>
                <w:rFonts w:ascii="Calibri" w:hAnsi="Calibri" w:cs="Calibri"/>
                <w:lang w:val="ro-RO"/>
              </w:rPr>
              <w:t>Dis</w:t>
            </w:r>
            <w:r w:rsidRPr="00995724">
              <w:rPr>
                <w:rFonts w:ascii="Calibri" w:hAnsi="Calibri" w:cs="Calibri"/>
                <w:lang w:val="en-US"/>
              </w:rPr>
              <w:t>e</w:t>
            </w:r>
            <w:r w:rsidRPr="00995724">
              <w:rPr>
                <w:rFonts w:ascii="Calibri" w:hAnsi="Calibri" w:cs="Calibri"/>
                <w:lang w:val="ro-RO"/>
              </w:rPr>
              <w:t>minarea informațiilor</w:t>
            </w:r>
            <w:r w:rsidRPr="00995724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Detalii</w:t>
            </w:r>
          </w:p>
        </w:tc>
        <w:tc>
          <w:tcPr>
            <w:tcW w:w="6326" w:type="dxa"/>
          </w:tcPr>
          <w:p w:rsidR="005903AC" w:rsidRPr="004A1E15" w:rsidRDefault="005903AC" w:rsidP="0059243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0444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6FA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6FA" w:rsidRPr="008C54F8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8C54F8" w:rsidSect="00913661">
      <w:headerReference w:type="default" r:id="rId9"/>
      <w:headerReference w:type="first" r:id="rId10"/>
      <w:footerReference w:type="first" r:id="rId11"/>
      <w:pgSz w:w="11906" w:h="16838"/>
      <w:pgMar w:top="1417" w:right="1134" w:bottom="1134" w:left="1134" w:header="71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25" w:rsidRDefault="006B6925" w:rsidP="00EE41AB">
      <w:pPr>
        <w:spacing w:after="0" w:line="240" w:lineRule="auto"/>
      </w:pPr>
      <w:r>
        <w:separator/>
      </w:r>
    </w:p>
  </w:endnote>
  <w:endnote w:type="continuationSeparator" w:id="1">
    <w:p w:rsidR="006B6925" w:rsidRDefault="006B6925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9" w:type="pct"/>
      <w:tblCellMar>
        <w:left w:w="0" w:type="dxa"/>
        <w:right w:w="0" w:type="dxa"/>
      </w:tblCellMar>
      <w:tblLook w:val="04A0"/>
    </w:tblPr>
    <w:tblGrid>
      <w:gridCol w:w="7369"/>
      <w:gridCol w:w="1939"/>
    </w:tblGrid>
    <w:tr w:rsidR="00913661" w:rsidRPr="00AF0FF9" w:rsidTr="00913661">
      <w:tc>
        <w:tcPr>
          <w:tcW w:w="7370" w:type="dxa"/>
          <w:vAlign w:val="bottom"/>
        </w:tcPr>
        <w:p w:rsidR="00913661" w:rsidRPr="00B969CF" w:rsidRDefault="00913661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:rsidR="00913661" w:rsidRPr="00B969CF" w:rsidRDefault="00913661" w:rsidP="00EE41AB">
          <w:pPr>
            <w:pStyle w:val="Elementografico"/>
            <w:rPr>
              <w:lang w:val="en-US"/>
            </w:rPr>
          </w:pPr>
        </w:p>
      </w:tc>
    </w:tr>
    <w:tr w:rsidR="00913661" w:rsidRPr="00AF0FF9" w:rsidTr="00913661">
      <w:trPr>
        <w:trHeight w:hRule="exact" w:val="86"/>
      </w:trPr>
      <w:tc>
        <w:tcPr>
          <w:tcW w:w="7370" w:type="dxa"/>
          <w:shd w:val="clear" w:color="auto" w:fill="000000" w:themeFill="text1"/>
        </w:tcPr>
        <w:p w:rsidR="00913661" w:rsidRPr="00B969CF" w:rsidRDefault="00913661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913661" w:rsidRPr="00B969CF" w:rsidRDefault="00913661" w:rsidP="00EE41AB">
          <w:pPr>
            <w:rPr>
              <w:lang w:val="en-US"/>
            </w:rPr>
          </w:pPr>
        </w:p>
      </w:tc>
    </w:tr>
  </w:tbl>
  <w:p w:rsidR="00AF0FF9" w:rsidRPr="00EE41AB" w:rsidRDefault="00AF0FF9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25" w:rsidRDefault="006B6925" w:rsidP="00EE41AB">
      <w:pPr>
        <w:spacing w:after="0" w:line="240" w:lineRule="auto"/>
      </w:pPr>
      <w:r>
        <w:separator/>
      </w:r>
    </w:p>
  </w:footnote>
  <w:footnote w:type="continuationSeparator" w:id="1">
    <w:p w:rsidR="006B6925" w:rsidRDefault="006B6925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3" w:type="pct"/>
      <w:tblCellMar>
        <w:left w:w="0" w:type="dxa"/>
        <w:right w:w="0" w:type="dxa"/>
      </w:tblCellMar>
      <w:tblLook w:val="04A0"/>
    </w:tblPr>
    <w:tblGrid>
      <w:gridCol w:w="2389"/>
      <w:gridCol w:w="6927"/>
    </w:tblGrid>
    <w:tr w:rsidR="00913661" w:rsidRPr="00B969CF" w:rsidTr="00913661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913661" w:rsidRPr="00A22A1E" w:rsidRDefault="00913661" w:rsidP="00EE41AB">
          <w:pPr>
            <w:spacing w:after="0" w:line="240" w:lineRule="auto"/>
          </w:pPr>
        </w:p>
      </w:tc>
      <w:tc>
        <w:tcPr>
          <w:tcW w:w="6927" w:type="dxa"/>
          <w:shd w:val="clear" w:color="auto" w:fill="000000" w:themeFill="text1"/>
        </w:tcPr>
        <w:p w:rsidR="00913661" w:rsidRPr="00B969CF" w:rsidRDefault="00913661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AF0FF9" w:rsidRPr="00B969CF" w:rsidRDefault="00AF0FF9" w:rsidP="00EE41AB">
    <w:pPr>
      <w:spacing w:after="0" w:line="240" w:lineRule="auto"/>
      <w:rPr>
        <w:sz w:val="2"/>
        <w:szCs w:val="2"/>
      </w:rPr>
    </w:pPr>
  </w:p>
  <w:p w:rsidR="00AF0FF9" w:rsidRPr="00EE41AB" w:rsidRDefault="00AF0FF9" w:rsidP="00EE41A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56" w:rsidRDefault="00343FCC" w:rsidP="00851612">
    <w:pPr>
      <w:tabs>
        <w:tab w:val="center" w:pos="4819"/>
      </w:tabs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5E56"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51612">
      <w:tab/>
    </w:r>
    <w:r w:rsidR="004A552B" w:rsidRPr="004A552B">
      <w:rPr>
        <w:noProof/>
        <w:lang w:val="en-US"/>
      </w:rPr>
      <w:drawing>
        <wp:inline distT="0" distB="0" distL="0" distR="0">
          <wp:extent cx="690913" cy="690913"/>
          <wp:effectExtent l="19050" t="0" r="0" b="0"/>
          <wp:docPr id="2" name="I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13" cy="69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6"/>
      <w:gridCol w:w="6925"/>
    </w:tblGrid>
    <w:tr w:rsidR="00AF0FF9" w:rsidTr="008B5E56">
      <w:trPr>
        <w:trHeight w:hRule="exact" w:val="720"/>
      </w:trPr>
      <w:tc>
        <w:tcPr>
          <w:tcW w:w="1239" w:type="pct"/>
          <w:vAlign w:val="bottom"/>
        </w:tcPr>
        <w:p w:rsidR="00AF0FF9" w:rsidRPr="00AF0FF9" w:rsidRDefault="00AF0FF9" w:rsidP="008B5E56">
          <w:pPr>
            <w:pStyle w:val="Dat"/>
            <w:rPr>
              <w:rFonts w:ascii="Verdana" w:hAnsi="Verdana"/>
            </w:rPr>
          </w:pPr>
        </w:p>
      </w:tc>
      <w:tc>
        <w:tcPr>
          <w:tcW w:w="169" w:type="pct"/>
          <w:shd w:val="clear" w:color="auto" w:fill="auto"/>
          <w:vAlign w:val="bottom"/>
        </w:tcPr>
        <w:p w:rsidR="00AF0FF9" w:rsidRDefault="00AF0FF9" w:rsidP="00EE41AB"/>
      </w:tc>
      <w:tc>
        <w:tcPr>
          <w:tcW w:w="3592" w:type="pct"/>
          <w:vAlign w:val="bottom"/>
        </w:tcPr>
        <w:p w:rsidR="00AF0FF9" w:rsidRDefault="00AF0FF9" w:rsidP="00EE41AB"/>
      </w:tc>
    </w:tr>
    <w:tr w:rsidR="00AF0FF9" w:rsidTr="008B5E56">
      <w:trPr>
        <w:trHeight w:hRule="exact" w:val="86"/>
      </w:trPr>
      <w:tc>
        <w:tcPr>
          <w:tcW w:w="1239" w:type="pct"/>
          <w:shd w:val="clear" w:color="auto" w:fill="000000" w:themeFill="text1"/>
        </w:tcPr>
        <w:p w:rsidR="00AF0FF9" w:rsidRDefault="00AF0FF9" w:rsidP="00EE41AB"/>
      </w:tc>
      <w:tc>
        <w:tcPr>
          <w:tcW w:w="169" w:type="pct"/>
          <w:shd w:val="clear" w:color="auto" w:fill="auto"/>
        </w:tcPr>
        <w:p w:rsidR="00AF0FF9" w:rsidRDefault="00AF0FF9" w:rsidP="00EE41AB"/>
      </w:tc>
      <w:tc>
        <w:tcPr>
          <w:tcW w:w="3592" w:type="pct"/>
          <w:shd w:val="clear" w:color="auto" w:fill="000000" w:themeFill="text1"/>
        </w:tcPr>
        <w:p w:rsidR="00AF0FF9" w:rsidRDefault="00AF0FF9" w:rsidP="00EE41AB"/>
      </w:tc>
    </w:tr>
  </w:tbl>
  <w:p w:rsidR="00AF0FF9" w:rsidRDefault="00AF0FF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90"/>
    <w:multiLevelType w:val="hybridMultilevel"/>
    <w:tmpl w:val="8852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83656"/>
    <w:multiLevelType w:val="hybridMultilevel"/>
    <w:tmpl w:val="60564A52"/>
    <w:lvl w:ilvl="0" w:tplc="95D45F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8B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E58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C13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CB4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6E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2F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42F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E6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1AE90BB5"/>
    <w:multiLevelType w:val="hybridMultilevel"/>
    <w:tmpl w:val="8F1CCC0E"/>
    <w:lvl w:ilvl="0" w:tplc="B3DA3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2B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642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20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2E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E4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C2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E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85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F3790"/>
    <w:multiLevelType w:val="hybridMultilevel"/>
    <w:tmpl w:val="88CA31A6"/>
    <w:lvl w:ilvl="0" w:tplc="2C089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A9A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C0C1C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2681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CA46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1FEDD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60C8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3C7D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A165F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CE3093"/>
    <w:multiLevelType w:val="hybridMultilevel"/>
    <w:tmpl w:val="531A9B66"/>
    <w:lvl w:ilvl="0" w:tplc="0BD2B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AF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45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EE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69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28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6B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01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E6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6718C"/>
    <w:multiLevelType w:val="hybridMultilevel"/>
    <w:tmpl w:val="8A066DB8"/>
    <w:lvl w:ilvl="0" w:tplc="9A1CAF1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6B6D24A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54869B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12299A6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2382216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AA1EB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5648A94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43427C6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510C64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6223"/>
    <w:multiLevelType w:val="hybridMultilevel"/>
    <w:tmpl w:val="3BDCB41C"/>
    <w:lvl w:ilvl="0" w:tplc="3B827A0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4621F3A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712ACCE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1FA4FC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456B6EA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244F6B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9C03DF4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D78B522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16A2BD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96F68"/>
    <w:multiLevelType w:val="hybridMultilevel"/>
    <w:tmpl w:val="520AC7B4"/>
    <w:lvl w:ilvl="0" w:tplc="022EF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C02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2F1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A6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A1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66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44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9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5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E4AF8"/>
    <w:multiLevelType w:val="hybridMultilevel"/>
    <w:tmpl w:val="2FB6C6FE"/>
    <w:lvl w:ilvl="0" w:tplc="BE36D1D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30AC2"/>
    <w:rsid w:val="00037964"/>
    <w:rsid w:val="0004505C"/>
    <w:rsid w:val="0004589C"/>
    <w:rsid w:val="0005510C"/>
    <w:rsid w:val="00081A8C"/>
    <w:rsid w:val="00082210"/>
    <w:rsid w:val="000B0909"/>
    <w:rsid w:val="000C08C6"/>
    <w:rsid w:val="000D46C5"/>
    <w:rsid w:val="000D69B7"/>
    <w:rsid w:val="000E4044"/>
    <w:rsid w:val="000F32E2"/>
    <w:rsid w:val="000F4A54"/>
    <w:rsid w:val="0012132D"/>
    <w:rsid w:val="0014336A"/>
    <w:rsid w:val="001809C9"/>
    <w:rsid w:val="00186B76"/>
    <w:rsid w:val="00196C18"/>
    <w:rsid w:val="001D476D"/>
    <w:rsid w:val="001D4E63"/>
    <w:rsid w:val="00230444"/>
    <w:rsid w:val="002573B5"/>
    <w:rsid w:val="00266BCA"/>
    <w:rsid w:val="00274351"/>
    <w:rsid w:val="00281EB1"/>
    <w:rsid w:val="002B1A27"/>
    <w:rsid w:val="00325C9A"/>
    <w:rsid w:val="003268DD"/>
    <w:rsid w:val="00332596"/>
    <w:rsid w:val="00343FCC"/>
    <w:rsid w:val="00364F1E"/>
    <w:rsid w:val="00366663"/>
    <w:rsid w:val="00382980"/>
    <w:rsid w:val="003939B6"/>
    <w:rsid w:val="0039669F"/>
    <w:rsid w:val="003D5008"/>
    <w:rsid w:val="003F3126"/>
    <w:rsid w:val="003F7D67"/>
    <w:rsid w:val="00414956"/>
    <w:rsid w:val="00422B82"/>
    <w:rsid w:val="004605D6"/>
    <w:rsid w:val="00466025"/>
    <w:rsid w:val="00471FBA"/>
    <w:rsid w:val="00481D7B"/>
    <w:rsid w:val="00485B67"/>
    <w:rsid w:val="00496938"/>
    <w:rsid w:val="004A1E15"/>
    <w:rsid w:val="004A552B"/>
    <w:rsid w:val="004E0270"/>
    <w:rsid w:val="004E1749"/>
    <w:rsid w:val="004F06FA"/>
    <w:rsid w:val="005004DF"/>
    <w:rsid w:val="005146C0"/>
    <w:rsid w:val="00533094"/>
    <w:rsid w:val="0053461B"/>
    <w:rsid w:val="00554733"/>
    <w:rsid w:val="0056274F"/>
    <w:rsid w:val="005865CE"/>
    <w:rsid w:val="005903AC"/>
    <w:rsid w:val="0059243D"/>
    <w:rsid w:val="005B3528"/>
    <w:rsid w:val="005D37AA"/>
    <w:rsid w:val="005F30AF"/>
    <w:rsid w:val="00600BC4"/>
    <w:rsid w:val="0060353C"/>
    <w:rsid w:val="006062CE"/>
    <w:rsid w:val="006073EE"/>
    <w:rsid w:val="0062362D"/>
    <w:rsid w:val="0062701F"/>
    <w:rsid w:val="006357D5"/>
    <w:rsid w:val="00640025"/>
    <w:rsid w:val="006564B2"/>
    <w:rsid w:val="00673054"/>
    <w:rsid w:val="00674634"/>
    <w:rsid w:val="006B6925"/>
    <w:rsid w:val="006E73CA"/>
    <w:rsid w:val="00703A70"/>
    <w:rsid w:val="00704993"/>
    <w:rsid w:val="00714AFE"/>
    <w:rsid w:val="00722405"/>
    <w:rsid w:val="0072353E"/>
    <w:rsid w:val="00723E09"/>
    <w:rsid w:val="0072437A"/>
    <w:rsid w:val="00726612"/>
    <w:rsid w:val="00733F97"/>
    <w:rsid w:val="00742651"/>
    <w:rsid w:val="00744B42"/>
    <w:rsid w:val="007464AB"/>
    <w:rsid w:val="00755CCC"/>
    <w:rsid w:val="00756A35"/>
    <w:rsid w:val="007B04BC"/>
    <w:rsid w:val="007C57A8"/>
    <w:rsid w:val="007D5FE9"/>
    <w:rsid w:val="007E5B31"/>
    <w:rsid w:val="007F2D55"/>
    <w:rsid w:val="007F63DA"/>
    <w:rsid w:val="008022BF"/>
    <w:rsid w:val="00851612"/>
    <w:rsid w:val="008839B0"/>
    <w:rsid w:val="008A4C08"/>
    <w:rsid w:val="008B5E56"/>
    <w:rsid w:val="008C54F8"/>
    <w:rsid w:val="008F0481"/>
    <w:rsid w:val="008F3986"/>
    <w:rsid w:val="00913661"/>
    <w:rsid w:val="009216F3"/>
    <w:rsid w:val="00967C69"/>
    <w:rsid w:val="009945A7"/>
    <w:rsid w:val="00995724"/>
    <w:rsid w:val="009A06A0"/>
    <w:rsid w:val="009A2642"/>
    <w:rsid w:val="009C4961"/>
    <w:rsid w:val="009D2BD7"/>
    <w:rsid w:val="009E4662"/>
    <w:rsid w:val="00A02EB0"/>
    <w:rsid w:val="00A17C95"/>
    <w:rsid w:val="00A703C2"/>
    <w:rsid w:val="00A75466"/>
    <w:rsid w:val="00A969BF"/>
    <w:rsid w:val="00A978AC"/>
    <w:rsid w:val="00AA3404"/>
    <w:rsid w:val="00AF0FF9"/>
    <w:rsid w:val="00AF2CF2"/>
    <w:rsid w:val="00B229FF"/>
    <w:rsid w:val="00B23E80"/>
    <w:rsid w:val="00B35B12"/>
    <w:rsid w:val="00B518AA"/>
    <w:rsid w:val="00B7104D"/>
    <w:rsid w:val="00B74D35"/>
    <w:rsid w:val="00BB1265"/>
    <w:rsid w:val="00BB1E0E"/>
    <w:rsid w:val="00BF518C"/>
    <w:rsid w:val="00C0017E"/>
    <w:rsid w:val="00C163B1"/>
    <w:rsid w:val="00C201D9"/>
    <w:rsid w:val="00C61D23"/>
    <w:rsid w:val="00C63216"/>
    <w:rsid w:val="00C6637A"/>
    <w:rsid w:val="00C70058"/>
    <w:rsid w:val="00C73280"/>
    <w:rsid w:val="00C949DD"/>
    <w:rsid w:val="00CD4AED"/>
    <w:rsid w:val="00CF03AF"/>
    <w:rsid w:val="00D319EC"/>
    <w:rsid w:val="00D6706B"/>
    <w:rsid w:val="00D95CC5"/>
    <w:rsid w:val="00DA58AA"/>
    <w:rsid w:val="00DF2EAA"/>
    <w:rsid w:val="00DF45B3"/>
    <w:rsid w:val="00E0435B"/>
    <w:rsid w:val="00E4439B"/>
    <w:rsid w:val="00E64725"/>
    <w:rsid w:val="00E91226"/>
    <w:rsid w:val="00E96EC4"/>
    <w:rsid w:val="00EB0003"/>
    <w:rsid w:val="00EC6EA4"/>
    <w:rsid w:val="00EE41AB"/>
    <w:rsid w:val="00F0307C"/>
    <w:rsid w:val="00F04FAF"/>
    <w:rsid w:val="00F06777"/>
    <w:rsid w:val="00F0715B"/>
    <w:rsid w:val="00F207B7"/>
    <w:rsid w:val="00F63904"/>
    <w:rsid w:val="00F706E3"/>
    <w:rsid w:val="00F94B32"/>
    <w:rsid w:val="00F95B53"/>
    <w:rsid w:val="00FA60D6"/>
    <w:rsid w:val="00FA736D"/>
    <w:rsid w:val="00FB539E"/>
    <w:rsid w:val="00FC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5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5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3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DB5C-304E-4410-BBC8-ECC02C0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62</cp:revision>
  <cp:lastPrinted>2017-03-30T08:29:00Z</cp:lastPrinted>
  <dcterms:created xsi:type="dcterms:W3CDTF">2017-03-30T08:05:00Z</dcterms:created>
  <dcterms:modified xsi:type="dcterms:W3CDTF">2019-12-17T15:16:00Z</dcterms:modified>
</cp:coreProperties>
</file>